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Valikkursus „Avalik esinemine: teekond veenva esinemiseni“</w:t>
      </w:r>
    </w:p>
    <w:p>
      <w:pPr>
        <w:pStyle w:val="Heading1"/>
      </w:pPr>
      <w:r>
        <w:t>1. Õppe- ja kasvatuseesmärgid</w:t>
      </w:r>
    </w:p>
    <w:p>
      <w:pPr/>
      <w:r>
        <w:rPr>
          <w:rFonts w:ascii="Times New Roman" w:hAnsi="Times New Roman" w:eastAsia="Times New Roman"/>
          <w:b w:val="0"/>
          <w:sz w:val="23"/>
          <w:u w:val="none"/>
        </w:rPr>
        <w:t>Gümnaasiumi avaliku esinemise kursusega taotletakse, et õpilane:</w:t>
      </w:r>
    </w:p>
    <w:p>
      <w:pPr/>
      <w:r>
        <w:rPr>
          <w:rFonts w:ascii="Times New Roman" w:hAnsi="Times New Roman" w:eastAsia="Times New Roman"/>
          <w:b w:val="0"/>
          <w:sz w:val="23"/>
          <w:u w:val="none"/>
        </w:rPr>
        <w:t>1) väljendab ennast suulises keelekasutuses selgelt, enesekindlalt ja sobivalt erinevates suhtlusolukordades;</w:t>
      </w:r>
    </w:p>
    <w:p>
      <w:pPr/>
      <w:r>
        <w:rPr>
          <w:rFonts w:ascii="Times New Roman" w:hAnsi="Times New Roman" w:eastAsia="Times New Roman"/>
          <w:b w:val="0"/>
          <w:sz w:val="23"/>
          <w:u w:val="none"/>
        </w:rPr>
        <w:t>2) oskab kavandada, koostada ja esitada eesmärgistatud ning kuulajale mõjusat kõnet;</w:t>
      </w:r>
    </w:p>
    <w:p>
      <w:pPr/>
      <w:r>
        <w:rPr>
          <w:rFonts w:ascii="Times New Roman" w:hAnsi="Times New Roman" w:eastAsia="Times New Roman"/>
          <w:b w:val="0"/>
          <w:sz w:val="23"/>
          <w:u w:val="none"/>
        </w:rPr>
        <w:t>3) arendab teadlikult hääle, kehakeele, kohalolu ja esinemisoskuse kasutamist;</w:t>
      </w:r>
    </w:p>
    <w:p>
      <w:pPr/>
      <w:r>
        <w:rPr>
          <w:rFonts w:ascii="Times New Roman" w:hAnsi="Times New Roman" w:eastAsia="Times New Roman"/>
          <w:b w:val="0"/>
          <w:sz w:val="23"/>
          <w:u w:val="none"/>
        </w:rPr>
        <w:t>4) oskab luua kuulajatega kontakti, kuulata eesmärgistatult ning osaleda tulemuslikus dialoogis;</w:t>
      </w:r>
    </w:p>
    <w:p>
      <w:pPr/>
      <w:r>
        <w:rPr>
          <w:rFonts w:ascii="Times New Roman" w:hAnsi="Times New Roman" w:eastAsia="Times New Roman"/>
          <w:b w:val="0"/>
          <w:sz w:val="23"/>
          <w:u w:val="none"/>
        </w:rPr>
        <w:t>5) argumenteerib veenvalt, kasutab asjakohaseid tõendeid ning oskab oma seisukohti põhjendada ja kaitsta;</w:t>
      </w:r>
    </w:p>
    <w:p>
      <w:pPr/>
      <w:r>
        <w:rPr>
          <w:rFonts w:ascii="Times New Roman" w:hAnsi="Times New Roman" w:eastAsia="Times New Roman"/>
          <w:b w:val="0"/>
          <w:sz w:val="23"/>
          <w:u w:val="none"/>
        </w:rPr>
        <w:t>6) oskab analüüsida enda ja teiste esinemist, võtta vastu konstruktiivset tagasisidet ning kujundada isikliku arengutee.</w:t>
      </w:r>
    </w:p>
    <w:p>
      <w:pPr>
        <w:pStyle w:val="Heading1"/>
      </w:pPr>
      <w:r>
        <w:t>2. Kursuse lühikirjeldus</w:t>
      </w:r>
    </w:p>
    <w:p>
      <w:pPr/>
      <w:r>
        <w:rPr>
          <w:rFonts w:ascii="Times New Roman" w:hAnsi="Times New Roman" w:eastAsia="Times New Roman"/>
          <w:b w:val="0"/>
          <w:sz w:val="23"/>
          <w:u w:val="none"/>
        </w:rPr>
        <w:t>Praktilise suunitlusega suulise eneseväljenduse kursus keskendub avaliku esinemise kui tervikliku oskuse arendamisele. Kursus liigub seitsme omavahel seotud osa kaudu tähelepanu haaramisest ja tugeva sissejuhatuse loomisest kuni kuulamise, argumenteerimise ja väitluseni. Õppetöös seotakse kõne koostamine, esitamine, suhtlemine ja eneseanalüüs; olulisel kohal on korduv harjutamine, tagasiside ning enda esinemisstiili kujundamine.</w:t>
      </w:r>
    </w:p>
    <w:p>
      <w:pPr/>
      <w:r>
        <w:rPr>
          <w:rFonts w:ascii="Times New Roman" w:hAnsi="Times New Roman" w:eastAsia="Times New Roman"/>
          <w:b w:val="0"/>
          <w:sz w:val="23"/>
          <w:u w:val="none"/>
        </w:rPr>
        <w:t>Kursus arvestab gümnaasiumiõpilase arengutaset ning käsitleb väitlust ühe avaliku esinemise ja argumenteeritud suhtluse vormina. Õppetöös rakendatakse ka kaasaegseid rahvusvahelisi avaliku esinemise ja kommunikatsiooni käsitlusi, sealhulgas Vinh Giangi praktilise lähenemise põhimõtteid, milles pööratakse tähelepanu häälele, kohalolule, kehakeelele, selgele sõnumile, lugude jutustamisele ja suhtluskontaktile.</w:t>
      </w:r>
    </w:p>
    <w:p>
      <w:pPr/>
      <w:r>
        <w:rPr>
          <w:rFonts w:ascii="Times New Roman" w:hAnsi="Times New Roman" w:eastAsia="Times New Roman"/>
          <w:b w:val="0"/>
          <w:sz w:val="23"/>
          <w:u w:val="none"/>
        </w:rPr>
        <w:t>Kursuse maht on 35 ainetundi ning õppetöö on valdavalt praktiline ja harjutuspõhine.</w:t>
      </w:r>
    </w:p>
    <w:p>
      <w:pPr>
        <w:pStyle w:val="Heading1"/>
      </w:pPr>
      <w:r>
        <w:t>3. Õpitulemused</w:t>
      </w:r>
    </w:p>
    <w:p>
      <w:pPr/>
      <w:r>
        <w:rPr>
          <w:rFonts w:ascii="Times New Roman" w:hAnsi="Times New Roman" w:eastAsia="Times New Roman"/>
          <w:b w:val="0"/>
          <w:sz w:val="23"/>
          <w:u w:val="none"/>
        </w:rPr>
        <w:t>Kursuse lõpul õpilane:</w:t>
      </w:r>
    </w:p>
    <w:p>
      <w:pPr/>
      <w:r>
        <w:rPr>
          <w:rFonts w:ascii="Times New Roman" w:hAnsi="Times New Roman" w:eastAsia="Times New Roman"/>
          <w:b w:val="0"/>
          <w:sz w:val="23"/>
          <w:u w:val="none"/>
        </w:rPr>
        <w:t>1) tunneb avaliku esinemise peamisi eesmärke, olukordi ja vorme ning oskab valida olukorrale sobiva esinemisviisi;</w:t>
      </w:r>
    </w:p>
    <w:p>
      <w:pPr/>
      <w:r>
        <w:rPr>
          <w:rFonts w:ascii="Times New Roman" w:hAnsi="Times New Roman" w:eastAsia="Times New Roman"/>
          <w:b w:val="0"/>
          <w:sz w:val="23"/>
          <w:u w:val="none"/>
        </w:rPr>
        <w:t>2) oskab kujundada kõne tugeva sissejuhatuse, selge sõnumi ja loogilise ülesehitusega ning esitada selle mõjusalt;</w:t>
      </w:r>
    </w:p>
    <w:p>
      <w:pPr/>
      <w:r>
        <w:rPr>
          <w:rFonts w:ascii="Times New Roman" w:hAnsi="Times New Roman" w:eastAsia="Times New Roman"/>
          <w:b w:val="0"/>
          <w:sz w:val="23"/>
          <w:u w:val="none"/>
        </w:rPr>
        <w:t>3) kasutab teadlikult häält, kõnetempot, pause, rõhke, kehakeelt, ruumi ja silmsidet, et toetada sõnumi mõjusust;</w:t>
      </w:r>
    </w:p>
    <w:p>
      <w:pPr/>
      <w:r>
        <w:rPr>
          <w:rFonts w:ascii="Times New Roman" w:hAnsi="Times New Roman" w:eastAsia="Times New Roman"/>
          <w:b w:val="0"/>
          <w:sz w:val="23"/>
          <w:u w:val="none"/>
        </w:rPr>
        <w:t>4) oskab kohandada oma sõnumit kuulajale, luua kontakti ning kasutada isiklikku lugu ja näiteid tähendusliku ühenduse loomiseks;</w:t>
      </w:r>
    </w:p>
    <w:p>
      <w:pPr/>
      <w:r>
        <w:rPr>
          <w:rFonts w:ascii="Times New Roman" w:hAnsi="Times New Roman" w:eastAsia="Times New Roman"/>
          <w:b w:val="0"/>
          <w:sz w:val="23"/>
          <w:u w:val="none"/>
        </w:rPr>
        <w:t>5) kuulab eesmärgistatult, esitab asjakohaseid küsimusi, reageerib sisuliselt ning osaleb dialoogis lugupidavalt;</w:t>
      </w:r>
    </w:p>
    <w:p>
      <w:pPr/>
      <w:r>
        <w:rPr>
          <w:rFonts w:ascii="Times New Roman" w:hAnsi="Times New Roman" w:eastAsia="Times New Roman"/>
          <w:b w:val="0"/>
          <w:sz w:val="23"/>
          <w:u w:val="none"/>
        </w:rPr>
        <w:t>6) eristab eetose, paatose ja logose rolli veenmisel ning rakendab neid eesmärgipäraselt;</w:t>
      </w:r>
    </w:p>
    <w:p>
      <w:pPr/>
      <w:r>
        <w:rPr>
          <w:rFonts w:ascii="Times New Roman" w:hAnsi="Times New Roman" w:eastAsia="Times New Roman"/>
          <w:b w:val="0"/>
          <w:sz w:val="23"/>
          <w:u w:val="none"/>
        </w:rPr>
        <w:t>7) koostab selge teesi ja ülesehitusega argumendi, kasutab usaldusväärseid allikaid ja tõendeid ning teeb põhjendatud järeldusi;</w:t>
      </w:r>
    </w:p>
    <w:p>
      <w:pPr/>
      <w:r>
        <w:rPr>
          <w:rFonts w:ascii="Times New Roman" w:hAnsi="Times New Roman" w:eastAsia="Times New Roman"/>
          <w:b w:val="0"/>
          <w:sz w:val="23"/>
          <w:u w:val="none"/>
        </w:rPr>
        <w:t>8) tunneb väitluse põhialuseid ja erinevaid väitlusvorme ning oskab osaleda väitluses nii kõneleja, küsija kui ka tagasisidestajana;</w:t>
      </w:r>
    </w:p>
    <w:p>
      <w:pPr/>
      <w:r>
        <w:rPr>
          <w:rFonts w:ascii="Times New Roman" w:hAnsi="Times New Roman" w:eastAsia="Times New Roman"/>
          <w:b w:val="0"/>
          <w:sz w:val="23"/>
          <w:u w:val="none"/>
        </w:rPr>
        <w:t>9) analüüsib enda ja kaaslaste esinemist ning seab saadud tagasiside põhjal konkreetseid arengueesmärke.</w:t>
      </w:r>
    </w:p>
    <w:p>
      <w:pPr>
        <w:pStyle w:val="Heading1"/>
      </w:pPr>
      <w:r>
        <w:t>4. Õppesisu</w:t>
      </w:r>
    </w:p>
    <w:p>
      <w:pPr>
        <w:keepNext/>
        <w:spacing w:before="40" w:after="0"/>
      </w:pPr>
      <w:r>
        <w:rPr>
          <w:rFonts w:ascii="Times New Roman" w:hAnsi="Times New Roman" w:eastAsia="Times New Roman"/>
          <w:b w:val="0"/>
          <w:sz w:val="23"/>
          <w:u w:val="single"/>
        </w:rPr>
        <w:t>I ja II. Sissejuhatus – kõnelemine ja esinemine</w:t>
      </w:r>
    </w:p>
    <w:p>
      <w:pPr/>
      <w:r>
        <w:rPr>
          <w:rFonts w:ascii="Times New Roman" w:hAnsi="Times New Roman" w:eastAsia="Times New Roman"/>
          <w:b w:val="0"/>
          <w:sz w:val="23"/>
          <w:u w:val="none"/>
        </w:rPr>
        <w:t>Avalik esinemine kui tänapäeva suhtluse ja eneseväljenduse oskus. Esinemise eesmärk ja kuulaja. Tugeva alguse loomine: tähelepanu haaramine üllatava fakti, intrigeeriva küsimuse, väite või muu sobiva võttega; isikliku loo kasutamine kontakti loomiseks; kõne eesmärgi ja põhisõnumi selge sõnastamine. Kõne ülesehituse põhimõtted, ettevalmistus, harjutamine ja esinemisärevusega toimetulek. Erinevad kõne liigid ja avaliku esinemise olukorrad.</w:t>
      </w:r>
    </w:p>
    <w:p>
      <w:pPr>
        <w:keepNext/>
        <w:spacing w:before="40" w:after="0"/>
      </w:pPr>
      <w:r>
        <w:rPr>
          <w:rFonts w:ascii="Times New Roman" w:hAnsi="Times New Roman" w:eastAsia="Times New Roman"/>
          <w:b w:val="0"/>
          <w:sz w:val="23"/>
          <w:u w:val="single"/>
        </w:rPr>
        <w:t>III. Kõnelemine kui suhtlemine</w:t>
      </w:r>
    </w:p>
    <w:p>
      <w:pPr/>
      <w:r>
        <w:rPr>
          <w:rFonts w:ascii="Times New Roman" w:hAnsi="Times New Roman" w:eastAsia="Times New Roman"/>
          <w:b w:val="0"/>
          <w:sz w:val="23"/>
          <w:u w:val="none"/>
        </w:rPr>
        <w:t>Kõne kui suhtlusolukord. Kõneleja, kuulaja, sõnum ja kontekst. Kontakti loomine kuulajatega ning kuulaja vajaduste ja ootustega arvestamine. Suhtlustõkked ja nende ennetamine. Kõneleja kohalolu, huvitavus ja kaasatus. Monoloogi ja dialoogi erinevused ning sobiva suhtlusviisi valik.</w:t>
      </w:r>
    </w:p>
    <w:p>
      <w:pPr>
        <w:keepNext/>
        <w:spacing w:before="40" w:after="0"/>
      </w:pPr>
      <w:r>
        <w:rPr>
          <w:rFonts w:ascii="Times New Roman" w:hAnsi="Times New Roman" w:eastAsia="Times New Roman"/>
          <w:b w:val="0"/>
          <w:sz w:val="23"/>
          <w:u w:val="single"/>
        </w:rPr>
        <w:t>IV. Hääl ja keha ning nende talitsemine</w:t>
      </w:r>
    </w:p>
    <w:p>
      <w:pPr/>
      <w:r>
        <w:rPr>
          <w:rFonts w:ascii="Times New Roman" w:hAnsi="Times New Roman" w:eastAsia="Times New Roman"/>
          <w:b w:val="0"/>
          <w:sz w:val="23"/>
          <w:u w:val="none"/>
        </w:rPr>
        <w:t>Hääl kui esineja põhiline instrument. Hääle tugevus, kõrgus, tempo, rütm, pausid, artikulatsioon ja intonatsioon. Kõne selgus ja parakeel. Kehakeel, näoilme, žestid, kehahoiak, liikumine, ruumikasutus ja silmside. Kuidas kasutada häält ja keha sõnumi võimendamiseks ning kuidas vältida sõnumiga vastuollu minevaid mitteverbaalseid võtteid.</w:t>
      </w:r>
    </w:p>
    <w:p>
      <w:pPr>
        <w:keepNext/>
        <w:spacing w:before="40" w:after="0"/>
      </w:pPr>
      <w:r>
        <w:rPr>
          <w:rFonts w:ascii="Times New Roman" w:hAnsi="Times New Roman" w:eastAsia="Times New Roman"/>
          <w:b w:val="0"/>
          <w:sz w:val="23"/>
          <w:u w:val="single"/>
        </w:rPr>
        <w:t>V. Kõnelemine kui eneseväljendus</w:t>
      </w:r>
    </w:p>
    <w:p>
      <w:pPr/>
      <w:r>
        <w:rPr>
          <w:rFonts w:ascii="Times New Roman" w:hAnsi="Times New Roman" w:eastAsia="Times New Roman"/>
          <w:b w:val="0"/>
          <w:sz w:val="23"/>
          <w:u w:val="none"/>
        </w:rPr>
        <w:t>Isikliku esinemisstiili kujundamine. Oma hääle ja loomuliku väljendusviisi leidmine. Mõtete selge, arusaadav ja veenvalt sõnastamine. Keelekasutus, sõnavara ja sõnumi lihtsus. Lugude jutustamine, näited, kujundlikkus ja meeldejäävus. Eetiline eneseesitlus ja autentsus. Esinemise visuaalne toetamine ning visuaalsete abivahendite otstarbekas kasutamine.</w:t>
      </w:r>
    </w:p>
    <w:p>
      <w:pPr>
        <w:keepNext/>
        <w:spacing w:before="40" w:after="0"/>
      </w:pPr>
      <w:r>
        <w:rPr>
          <w:rFonts w:ascii="Times New Roman" w:hAnsi="Times New Roman" w:eastAsia="Times New Roman"/>
          <w:b w:val="0"/>
          <w:sz w:val="23"/>
          <w:u w:val="single"/>
        </w:rPr>
        <w:t>VI. Kuulamine</w:t>
      </w:r>
    </w:p>
    <w:p>
      <w:pPr/>
      <w:r>
        <w:rPr>
          <w:rFonts w:ascii="Times New Roman" w:hAnsi="Times New Roman" w:eastAsia="Times New Roman"/>
          <w:b w:val="0"/>
          <w:sz w:val="23"/>
          <w:u w:val="none"/>
        </w:rPr>
        <w:t>Kuulamine kui tõhusa suhtlemise alus. Aktiivne ja eesmärgistatud kuulamine, kohalolu ning kuuldu mõtestamine. Küsimuste esitamine, repliik ja vastamine. Erinevad kuulajatüübid ja kuulamistakistused. Tagasiside andmine ja vastuvõtmine. Külalisesinejate ning avalike kõnede vaatlus ja analüüs: mida saab õppida teiste esinejate võtetest ning kuidas kohandada toimivaid võtteid oma stiiliga.</w:t>
      </w:r>
    </w:p>
    <w:p>
      <w:pPr>
        <w:keepNext/>
        <w:spacing w:before="40" w:after="0"/>
      </w:pPr>
      <w:r>
        <w:rPr>
          <w:rFonts w:ascii="Times New Roman" w:hAnsi="Times New Roman" w:eastAsia="Times New Roman"/>
          <w:b w:val="0"/>
          <w:sz w:val="23"/>
          <w:u w:val="single"/>
        </w:rPr>
        <w:t>VII. Argumenteerimine ja väitlus</w:t>
      </w:r>
    </w:p>
    <w:p>
      <w:pPr/>
      <w:r>
        <w:rPr>
          <w:rFonts w:ascii="Times New Roman" w:hAnsi="Times New Roman" w:eastAsia="Times New Roman"/>
          <w:b w:val="0"/>
          <w:sz w:val="23"/>
          <w:u w:val="none"/>
        </w:rPr>
        <w:t>Argumenteerimine kui veenva avaliku esinemise osa. Retoorika kolm alustala: eetos (usaldusväärsus), paatos (emotsionaalne mõju) ja logos (loogika, tõendid ja faktid). Tugeva argumendi ülesehitus: selge teesi sõnastus, seletus, tõestus ja allikad ning järeldus. Usaldusväärsete allikate, näidete, statistika ja tunnistuse kasutamine. Veenmise ja mõjutamise eetilised piirid.</w:t>
      </w:r>
    </w:p>
    <w:p>
      <w:pPr/>
      <w:r>
        <w:rPr>
          <w:rFonts w:ascii="Times New Roman" w:hAnsi="Times New Roman" w:eastAsia="Times New Roman"/>
          <w:b w:val="0"/>
          <w:sz w:val="23"/>
          <w:u w:val="none"/>
        </w:rPr>
        <w:t>Väitlus kui argumenteeritud avaliku esinemise vorm. Väitluse olemus ja eesmärgid, erinevad väitlusvormid ning Eesti Väitlusseltsi põhimõtete tutvustamine. Seisukoha kujundamine ja kaitsmine, vastaspoole argumentide kuulamine, ümberlükkamine, küsimuste esitamine ja vastamine. Ristküsitluse põhimõtted, väitleja rollid ning kohtuniku või vaatleja töö. Rõhk ei ole üksnes argumendi „võitmisel“, vaid põhjendatud mõttevahetusel, kriitilisel mõtlemisel ja sisukal dialoogil.</w:t>
      </w:r>
    </w:p>
    <w:p>
      <w:pPr>
        <w:pStyle w:val="Heading1"/>
      </w:pPr>
      <w:r>
        <w:t>5. Õppetegevus</w:t>
      </w:r>
    </w:p>
    <w:p>
      <w:pPr/>
      <w:r>
        <w:rPr>
          <w:rFonts w:ascii="Times New Roman" w:hAnsi="Times New Roman" w:eastAsia="Times New Roman"/>
          <w:b w:val="0"/>
          <w:sz w:val="23"/>
          <w:u w:val="none"/>
        </w:rPr>
        <w:t>Praktilised tööd (lühikõnede, informatiivsete ja veenvate kõnede koostamine ja esitamine, harjutused paaris ja rühmas, improvisatsioonilised kõneharjutused, lugude jutustamine, hääle- ja kehakeele harjutused, õpiarutelud, rollimängud, väitlused ja ristküsitlused), heli- ja videosalvestused ning nende analüüs. Õppetöös kasutatakse kaaslaste tagasisidet, eneseanalüüsi ja vaatlust. Võimaluse korral analüüsitakse külalisesinejate ning avalike kõnede näiteid. Kursuse praktiliseks väljundiks võib olla TNG Tornikõne või muu avaliku esinemise sündmus, mille käigus rakendatakse õpitut ning antakse esinejatele õpitud teooriale tuginevat tagasisidet.</w:t>
      </w:r>
    </w:p>
    <w:p>
      <w:pPr>
        <w:pStyle w:val="Heading1"/>
      </w:pPr>
      <w:r>
        <w:t>6. Üldpädevuste kujundamine</w:t>
      </w:r>
    </w:p>
    <w:p>
      <w:pPr/>
      <w:r>
        <w:rPr>
          <w:rFonts w:ascii="Times New Roman" w:hAnsi="Times New Roman" w:eastAsia="Times New Roman"/>
          <w:b w:val="0"/>
          <w:sz w:val="23"/>
          <w:u w:val="none"/>
        </w:rPr>
        <w:t>Kursus arendab järgmisi gümnaasiumis taotletavaid pädevusi:</w:t>
      </w:r>
    </w:p>
    <w:p>
      <w:pPr/>
      <w:r>
        <w:rPr>
          <w:rFonts w:ascii="Times New Roman" w:hAnsi="Times New Roman" w:eastAsia="Times New Roman"/>
          <w:b w:val="0"/>
          <w:sz w:val="23"/>
          <w:u w:val="none"/>
        </w:rPr>
        <w:t>1) õpilane väljendab ennast selgelt ja lugupidavalt, järgib suhtlemisel üldtunnustatud väärtusi ja eetilisi põhimõtteid;</w:t>
      </w:r>
    </w:p>
    <w:p>
      <w:pPr/>
      <w:r>
        <w:rPr>
          <w:rFonts w:ascii="Times New Roman" w:hAnsi="Times New Roman" w:eastAsia="Times New Roman"/>
          <w:b w:val="0"/>
          <w:sz w:val="23"/>
          <w:u w:val="none"/>
        </w:rPr>
        <w:t>2) õpilane vastutab oma valikute, ettevalmistuse ja esinemise eest ning arendab enesejuhtimise ja eneseanalüüsi oskust;</w:t>
      </w:r>
    </w:p>
    <w:p>
      <w:pPr/>
      <w:r>
        <w:rPr>
          <w:rFonts w:ascii="Times New Roman" w:hAnsi="Times New Roman" w:eastAsia="Times New Roman"/>
          <w:b w:val="0"/>
          <w:sz w:val="23"/>
          <w:u w:val="none"/>
        </w:rPr>
        <w:t>3) õpilane oskab töötada paaris ja rühmas, kuulata teisi ning panustada ühise eesmärgi saavutamisse;</w:t>
      </w:r>
    </w:p>
    <w:p>
      <w:pPr/>
      <w:r>
        <w:rPr>
          <w:rFonts w:ascii="Times New Roman" w:hAnsi="Times New Roman" w:eastAsia="Times New Roman"/>
          <w:b w:val="0"/>
          <w:sz w:val="23"/>
          <w:u w:val="none"/>
        </w:rPr>
        <w:t>4) õpilane kasutab korrektset ja väljendusrikast eesti keelt ning oskab oma mõtteid suuliselt põhjendada;</w:t>
      </w:r>
    </w:p>
    <w:p>
      <w:pPr/>
      <w:r>
        <w:rPr>
          <w:rFonts w:ascii="Times New Roman" w:hAnsi="Times New Roman" w:eastAsia="Times New Roman"/>
          <w:b w:val="0"/>
          <w:sz w:val="23"/>
          <w:u w:val="none"/>
        </w:rPr>
        <w:t>5) õpilane mõtleb kriitiliselt ja loovalt, hindab väiteid ja tõendeid ning põhjendab oma seisukohti;</w:t>
      </w:r>
    </w:p>
    <w:p>
      <w:pPr/>
      <w:r>
        <w:rPr>
          <w:rFonts w:ascii="Times New Roman" w:hAnsi="Times New Roman" w:eastAsia="Times New Roman"/>
          <w:b w:val="0"/>
          <w:sz w:val="23"/>
          <w:u w:val="none"/>
        </w:rPr>
        <w:t>6) õpilane arendab julgust osaleda ühiskondlikus arutelus, oskab pidada dialoogi, lahendada erimeelsusi ning käituda tolerantselt.</w:t>
      </w:r>
    </w:p>
    <w:p>
      <w:pPr>
        <w:pStyle w:val="Heading1"/>
      </w:pPr>
      <w:r>
        <w:t>7. Õppekirjandus</w:t>
      </w:r>
    </w:p>
    <w:p>
      <w:pPr/>
      <w:r>
        <w:rPr>
          <w:rFonts w:ascii="Times New Roman" w:hAnsi="Times New Roman" w:eastAsia="Times New Roman"/>
          <w:b w:val="0"/>
          <w:sz w:val="23"/>
          <w:u w:val="none"/>
        </w:rPr>
        <w:t>K. Aava õpik „Veenmiskunst“</w:t>
      </w:r>
    </w:p>
    <w:p>
      <w:pPr/>
      <w:r>
        <w:rPr>
          <w:rFonts w:ascii="Times New Roman" w:hAnsi="Times New Roman" w:eastAsia="Times New Roman"/>
          <w:b w:val="0"/>
          <w:sz w:val="23"/>
          <w:u w:val="none"/>
        </w:rPr>
        <w:t>K. Aava õpik „Kõnekunst“</w:t>
      </w:r>
    </w:p>
    <w:p>
      <w:pPr/>
      <w:r>
        <w:rPr>
          <w:rFonts w:ascii="Times New Roman" w:hAnsi="Times New Roman" w:eastAsia="Times New Roman"/>
          <w:b w:val="0"/>
          <w:sz w:val="23"/>
          <w:u w:val="none"/>
        </w:rPr>
        <w:t>M. Kaldjärve õpik „Argumendi jõud“</w:t>
      </w:r>
    </w:p>
    <w:p>
      <w:pPr/>
      <w:r>
        <w:rPr>
          <w:rFonts w:ascii="Times New Roman" w:hAnsi="Times New Roman" w:eastAsia="Times New Roman"/>
          <w:b w:val="0"/>
          <w:sz w:val="23"/>
          <w:u w:val="none"/>
        </w:rPr>
        <w:t>Eesti Väitlusseltsi õpik „Arutlev haridus“</w:t>
      </w:r>
    </w:p>
    <w:p>
      <w:pPr/>
      <w:r>
        <w:rPr>
          <w:rFonts w:ascii="Times New Roman" w:hAnsi="Times New Roman" w:eastAsia="Times New Roman"/>
          <w:b w:val="0"/>
          <w:sz w:val="23"/>
          <w:u w:val="none"/>
        </w:rPr>
        <w:t>Vinh Giangi avaliku esinemise ja kommunikatsiooni õppematerjalid ning videomaterjalid.</w:t>
      </w:r>
    </w:p>
    <w:p>
      <w:pPr/>
      <w:r>
        <w:rPr>
          <w:rFonts w:ascii="Times New Roman" w:hAnsi="Times New Roman" w:eastAsia="Times New Roman"/>
          <w:b w:val="0"/>
          <w:sz w:val="23"/>
          <w:u w:val="none"/>
        </w:rPr>
        <w:t>Õpetaja koostatud ja kursuse käigus jagatavad õppematerjalid, näidiskõned ning audiovisuaalsed materjalid.</w:t>
      </w:r>
    </w:p>
    <w:p>
      <w:pPr/>
      <w:r>
        <w:rPr>
          <w:rFonts w:ascii="Times New Roman" w:hAnsi="Times New Roman" w:eastAsia="Times New Roman"/>
          <w:b w:val="0"/>
          <w:sz w:val="23"/>
          <w:u w:val="none"/>
        </w:rPr>
        <w:t>Täiendava akadeemilise taustana võib kasutada TalTechi õppeaine „Avalik esinemine“ käsitlusi avaliku esinemise ettevalmistamise, kõne ülesehituse, hääle, kehakeele, visuaalsete abivahendite ja tagasiside kohta.</w:t>
      </w:r>
    </w:p>
    <w:p>
      <w:pPr>
        <w:pStyle w:val="Heading1"/>
      </w:pPr>
      <w:r>
        <w:t>8. Füüsiline õpikeskkond</w:t>
      </w:r>
    </w:p>
    <w:p>
      <w:pPr/>
      <w:r>
        <w:rPr>
          <w:rFonts w:ascii="Times New Roman" w:hAnsi="Times New Roman" w:eastAsia="Times New Roman"/>
          <w:b w:val="0"/>
          <w:sz w:val="23"/>
          <w:u w:val="none"/>
        </w:rPr>
        <w:t>Tehnilised vahendid (arvuti, projektor või ekraan, mikrofon, kõlarid, videokaamera või nutiseade, diktofon), võimalus esinemiste salvestamiseks ja taasesitamiseks ning õpperuumi mööbli ümberpaigutamise võimalus. Õppetöö võib toimuda ka väljaspool tavapärast klassiruumi, sh kooli üritustel ja avaliku esinemise sündmustel.</w:t>
      </w:r>
    </w:p>
    <w:p>
      <w:pPr>
        <w:pStyle w:val="Heading1"/>
      </w:pPr>
      <w:r>
        <w:t>9. Hindamine</w:t>
      </w:r>
    </w:p>
    <w:p>
      <w:pPr/>
      <w:r>
        <w:rPr>
          <w:rFonts w:ascii="Times New Roman" w:hAnsi="Times New Roman" w:eastAsia="Times New Roman"/>
          <w:b w:val="0"/>
          <w:sz w:val="23"/>
          <w:u w:val="none"/>
        </w:rPr>
        <w:t>Aluseks on õpilase individuaalne areng, praktiliste esinemisoskuste kujunemine ning oskus rakendada kursusel õpitut. Kursuse alguses kaardistatakse õpilase esinemisoskuse hetkeolukord ning sõnastatakse isiklikud arengueesmärgid. Kursuse jooksul antakse praktiliste ülesannete täitmisel konstruktiivset ja võimaluse korral tõenduspõhist tagasisidet. Hindamine on arvestatud/mittearvestatud ehk mitteeristav.</w:t>
      </w:r>
    </w:p>
    <w:p>
      <w:pPr/>
      <w:r>
        <w:rPr>
          <w:rFonts w:ascii="Times New Roman" w:hAnsi="Times New Roman" w:eastAsia="Times New Roman"/>
          <w:b w:val="0"/>
          <w:sz w:val="23"/>
          <w:u w:val="none"/>
        </w:rPr>
        <w:t>Kursuse läbimise eelduseks on vähemalt 80% tundidest osavõtt ning vähemalt 5 arvestatud tagasisidestatud praktilist tööd. Praktiliste tööde hulka võivad kuuluda eri tüüpi kõned, argumenteerimis- ja väitlusülesanded, kuulamis- ja tagasisideülesanded ning eneseanalüüs.</w:t>
      </w:r>
    </w:p>
    <w:p>
      <w:pPr/>
      <w:r>
        <w:rPr>
          <w:rFonts w:ascii="Times New Roman" w:hAnsi="Times New Roman" w:eastAsia="Times New Roman"/>
          <w:b w:val="0"/>
          <w:sz w:val="23"/>
          <w:u w:val="none"/>
        </w:rPr>
        <w:t>Kursuse lõpus koostab õpilane eneseanalüüsi, milles hindab oma arengut, toob välja tugevused ja arengukohad ning sõnastab edasise arengutee. TNG Tornikõne või muu avaliku esinemise sündmuse puhul võib hinnatavaks tegevuseks olla ka kõnepidajate vaatlus ja õpitud teooriale tugineva tagasiside andmine.</w:t>
      </w:r>
    </w:p>
    <w:sectPr w:rsidR="00FC693F" w:rsidRPr="0006063C" w:rsidSect="00034616">
      <w:pgSz w:w="12240" w:h="15840"/>
      <w:pgMar w:top="1417" w:right="1587" w:bottom="1417"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240" w:lineRule="auto"/>
    </w:pPr>
    <w:rPr>
      <w:rFonts w:ascii="Times New Roman" w:hAnsi="Times New Roman" w:eastAsia="Times New Roman"/>
      <w:sz w:val="23"/>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00" w:after="0"/>
      <w:outlineLvl w:val="0"/>
    </w:pPr>
    <w:rPr>
      <w:rFonts w:asciiTheme="majorHAnsi" w:eastAsiaTheme="majorEastAsia" w:hAnsiTheme="majorHAnsi" w:cstheme="majorBidi" w:ascii="Times New Roman" w:hAnsi="Times New Roman" w:eastAsia="Times New Roman"/>
      <w:b/>
      <w:bCs/>
      <w:color w:val="365F91" w:themeColor="accent1" w:themeShade="BF"/>
      <w:sz w:val="24"/>
      <w:szCs w:val="28"/>
    </w:rPr>
  </w:style>
  <w:style w:type="paragraph" w:styleId="Heading2">
    <w:name w:val="heading 2"/>
    <w:basedOn w:val="Normal"/>
    <w:next w:val="Normal"/>
    <w:link w:val="Heading2Char"/>
    <w:uiPriority w:val="9"/>
    <w:unhideWhenUsed/>
    <w:qFormat/>
    <w:rsid w:val="00FC693F"/>
    <w:pPr>
      <w:keepNext/>
      <w:keepLines/>
      <w:spacing w:before="40" w:after="0"/>
      <w:outlineLvl w:val="1"/>
    </w:pPr>
    <w:rPr>
      <w:rFonts w:asciiTheme="majorHAnsi" w:eastAsiaTheme="majorEastAsia" w:hAnsiTheme="majorHAnsi" w:cstheme="majorBidi" w:ascii="Times New Roman" w:hAnsi="Times New Roman" w:eastAsia="Times New Roman"/>
      <w:b/>
      <w:bCs/>
      <w:color w:val="4F81BD" w:themeColor="accent1"/>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Times New Roman" w:hAnsi="Times New Roman" w:eastAsia="Times New Roman"/>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240" w:line="240" w:lineRule="auto"/>
      <w:contextualSpacing/>
      <w:jc w:val="left"/>
    </w:pPr>
    <w:rPr>
      <w:rFonts w:asciiTheme="majorHAnsi" w:eastAsiaTheme="majorEastAsia" w:hAnsiTheme="majorHAnsi" w:cstheme="majorBidi" w:ascii="Times New Roman" w:hAnsi="Times New Roman" w:eastAsia="Times New Roman"/>
      <w:b/>
      <w:color w:val="17365D" w:themeColor="text2" w:themeShade="BF"/>
      <w:spacing w:val="5"/>
      <w:kern w:val="28"/>
      <w:sz w:val="2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Valikkursus „Avalik esinemine: teekond veenva esinemiseni“</dc:title>
  <dc:subject>Gümnaasiumi valikaine ainekava</dc:subject>
  <dc:creator>Tallinna Nõmme Gümnaasium</dc:creator>
  <cp:keywords/>
  <dc:description>generated by python-docx</dc:description>
  <cp:lastModifiedBy/>
  <cp:revision>1</cp:revision>
  <dcterms:created xsi:type="dcterms:W3CDTF">2013-12-23T23:15:00Z</dcterms:created>
  <dcterms:modified xsi:type="dcterms:W3CDTF">2013-12-23T23:15:00Z</dcterms:modified>
  <cp:category/>
</cp:coreProperties>
</file>